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577FC56" w14:paraId="56CB2131" wp14:textId="3A8F6D76">
      <w:pPr>
        <w:pStyle w:val="Normal"/>
      </w:pPr>
      <w:r>
        <w:drawing>
          <wp:inline xmlns:wp14="http://schemas.microsoft.com/office/word/2010/wordprocessingDrawing" wp14:editId="7577FC56" wp14:anchorId="0BC1BB17">
            <wp:extent cx="2235200" cy="1581150"/>
            <wp:effectExtent l="0" t="0" r="0" b="0"/>
            <wp:docPr id="1385396120" name="" title=""/>
            <wp:cNvGraphicFramePr>
              <a:graphicFrameLocks noChangeAspect="1"/>
            </wp:cNvGraphicFramePr>
            <a:graphic>
              <a:graphicData uri="http://schemas.openxmlformats.org/drawingml/2006/picture">
                <pic:pic>
                  <pic:nvPicPr>
                    <pic:cNvPr id="0" name=""/>
                    <pic:cNvPicPr/>
                  </pic:nvPicPr>
                  <pic:blipFill>
                    <a:blip r:embed="R6c1ac4e689a24b82">
                      <a:extLst>
                        <a:ext xmlns:a="http://schemas.openxmlformats.org/drawingml/2006/main" uri="{28A0092B-C50C-407E-A947-70E740481C1C}">
                          <a14:useLocalDpi val="0"/>
                        </a:ext>
                      </a:extLst>
                    </a:blip>
                    <a:stretch>
                      <a:fillRect/>
                    </a:stretch>
                  </pic:blipFill>
                  <pic:spPr>
                    <a:xfrm>
                      <a:off x="0" y="0"/>
                      <a:ext cx="2235200" cy="1581150"/>
                    </a:xfrm>
                    <a:prstGeom prst="rect">
                      <a:avLst/>
                    </a:prstGeom>
                  </pic:spPr>
                </pic:pic>
              </a:graphicData>
            </a:graphic>
          </wp:inline>
        </w:drawing>
      </w:r>
    </w:p>
    <w:p w:rsidR="7577FC56" w:rsidP="7577FC56" w:rsidRDefault="7577FC56" w14:paraId="52F890BA" w14:textId="1B61B7D5">
      <w:pPr>
        <w:pStyle w:val="Normal"/>
      </w:pPr>
    </w:p>
    <w:p w:rsidR="7577FC56" w:rsidP="7577FC56" w:rsidRDefault="7577FC56" w14:paraId="51D6B8EC" w14:textId="2543FC50">
      <w:pPr>
        <w:pStyle w:val="Heading1"/>
        <w:rPr>
          <w:rFonts w:ascii="Calibri Light" w:hAnsi="Calibri Light" w:eastAsia="" w:cs=""/>
          <w:b w:val="1"/>
          <w:bCs w:val="1"/>
          <w:color w:val="00B050"/>
          <w:sz w:val="40"/>
          <w:szCs w:val="40"/>
        </w:rPr>
      </w:pPr>
      <w:r w:rsidRPr="7577FC56" w:rsidR="7577FC56">
        <w:rPr>
          <w:b w:val="1"/>
          <w:bCs w:val="1"/>
          <w:color w:val="00B050"/>
          <w:sz w:val="40"/>
          <w:szCs w:val="40"/>
        </w:rPr>
        <w:t>Uteplatser</w:t>
      </w:r>
    </w:p>
    <w:p w:rsidR="7577FC56" w:rsidP="7577FC56" w:rsidRDefault="7577FC56" w14:paraId="7058ECAA" w14:textId="40740EA7">
      <w:pPr>
        <w:pStyle w:val="Heading2"/>
        <w:rPr>
          <w:rFonts w:ascii="Calibri" w:hAnsi="Calibri" w:eastAsia="Calibri" w:cs="Calibri" w:asciiTheme="minorAscii" w:hAnsiTheme="minorAscii" w:eastAsiaTheme="minorAscii" w:cstheme="minorAscii"/>
          <w:b w:val="1"/>
          <w:bCs w:val="1"/>
          <w:color w:val="00B050"/>
          <w:sz w:val="32"/>
          <w:szCs w:val="32"/>
        </w:rPr>
      </w:pPr>
      <w:r w:rsidRPr="7577FC56" w:rsidR="7577FC56">
        <w:rPr>
          <w:rFonts w:ascii="Calibri" w:hAnsi="Calibri" w:eastAsia="Calibri" w:cs="Calibri" w:asciiTheme="minorAscii" w:hAnsiTheme="minorAscii" w:eastAsiaTheme="minorAscii" w:cstheme="minorAscii"/>
          <w:b w:val="1"/>
          <w:bCs w:val="1"/>
          <w:color w:val="00B050"/>
          <w:sz w:val="32"/>
          <w:szCs w:val="32"/>
        </w:rPr>
        <w:t>Bakgrund</w:t>
      </w:r>
    </w:p>
    <w:p w:rsidR="7577FC56" w:rsidP="7577FC56" w:rsidRDefault="7577FC56" w14:paraId="4993DD53" w14:textId="38720C1D">
      <w:pPr>
        <w:pStyle w:val="Normal"/>
        <w:bidi w:val="0"/>
        <w:spacing w:before="0" w:beforeAutospacing="off" w:after="160" w:afterAutospacing="off" w:line="259" w:lineRule="auto"/>
        <w:ind w:left="0" w:right="0"/>
        <w:jc w:val="left"/>
        <w:rPr>
          <w:sz w:val="26"/>
          <w:szCs w:val="26"/>
        </w:rPr>
      </w:pPr>
      <w:r w:rsidRPr="7577FC56" w:rsidR="7577FC56">
        <w:rPr>
          <w:sz w:val="26"/>
          <w:szCs w:val="26"/>
        </w:rPr>
        <w:t>När föreningen får inglasade balkonger och marken återställs har frågan om hur uteplatserna får se ut väckts. En uteplats tillhör inte bostadsrätten utan är föreningens mark som får nyttjas av den boende, med så kallad allmän nyttjanderätt. Detta är den allra enklaste formen av avtal och styrelsen kan säga upp avtalet med den boende, till och med utan anmodan om rättelse, eftersom besittningsskydd inte finns. Misskötsel kan ligga till grund för förverkande av bostadsrätten vilket styrs av bostadsrättslagen 7:18.</w:t>
      </w:r>
    </w:p>
    <w:p w:rsidR="7577FC56" w:rsidP="7577FC56" w:rsidRDefault="7577FC56" w14:paraId="55BC5F9A" w14:textId="0050DF02">
      <w:pPr>
        <w:pStyle w:val="Normal"/>
        <w:bidi w:val="0"/>
        <w:spacing w:before="0" w:beforeAutospacing="off" w:after="160" w:afterAutospacing="off" w:line="259" w:lineRule="auto"/>
        <w:ind w:left="0" w:right="0"/>
        <w:jc w:val="left"/>
        <w:rPr>
          <w:sz w:val="32"/>
          <w:szCs w:val="32"/>
        </w:rPr>
      </w:pPr>
    </w:p>
    <w:p w:rsidR="7577FC56" w:rsidP="7577FC56" w:rsidRDefault="7577FC56" w14:paraId="2EA644C2" w14:textId="79B6E1F4">
      <w:pPr>
        <w:pStyle w:val="Heading3"/>
        <w:bidi w:val="0"/>
        <w:rPr>
          <w:rFonts w:ascii="Calibri" w:hAnsi="Calibri" w:eastAsia="Calibri" w:cs="Calibri" w:asciiTheme="minorAscii" w:hAnsiTheme="minorAscii" w:eastAsiaTheme="minorAscii" w:cstheme="minorAscii"/>
          <w:b w:val="1"/>
          <w:bCs w:val="1"/>
          <w:color w:val="00B050"/>
          <w:sz w:val="32"/>
          <w:szCs w:val="32"/>
        </w:rPr>
      </w:pPr>
      <w:r w:rsidRPr="7577FC56" w:rsidR="7577FC56">
        <w:rPr>
          <w:rFonts w:ascii="Calibri" w:hAnsi="Calibri" w:eastAsia="Calibri" w:cs="Calibri" w:asciiTheme="minorAscii" w:hAnsiTheme="minorAscii" w:eastAsiaTheme="minorAscii" w:cstheme="minorAscii"/>
          <w:b w:val="1"/>
          <w:bCs w:val="1"/>
          <w:color w:val="00B050"/>
          <w:sz w:val="32"/>
          <w:szCs w:val="32"/>
        </w:rPr>
        <w:t>Vem bestämmer hur det får se ut på uteplatsen?</w:t>
      </w:r>
    </w:p>
    <w:p w:rsidR="7577FC56" w:rsidP="7577FC56" w:rsidRDefault="7577FC56" w14:paraId="2AA4347E" w14:textId="373CD41A">
      <w:pPr>
        <w:pStyle w:val="Normal"/>
        <w:bidi w:val="0"/>
        <w:spacing w:before="0" w:beforeAutospacing="off" w:after="160" w:afterAutospacing="off" w:line="259" w:lineRule="auto"/>
        <w:ind w:left="0" w:right="0"/>
        <w:jc w:val="left"/>
        <w:rPr>
          <w:sz w:val="26"/>
          <w:szCs w:val="26"/>
        </w:rPr>
      </w:pPr>
      <w:r w:rsidRPr="7577FC56" w:rsidR="7577FC56">
        <w:rPr>
          <w:sz w:val="26"/>
          <w:szCs w:val="26"/>
        </w:rPr>
        <w:t>Det är styrelsen! Att det är en gemensamt ägd mark ger inte var och en rätten att fritt bestämma, styrelsen bestämmer! Att man fått ha det i princip som man vill innan gäller inte längre! Alla som har en uteplats har skyldighet att sköta om den, klippa gräs med mera.</w:t>
      </w:r>
    </w:p>
    <w:p w:rsidR="7577FC56" w:rsidP="7577FC56" w:rsidRDefault="7577FC56" w14:paraId="4B9E8B72" w14:textId="332A95C7">
      <w:pPr>
        <w:pStyle w:val="Normal"/>
        <w:bidi w:val="0"/>
        <w:spacing w:before="0" w:beforeAutospacing="off" w:after="160" w:afterAutospacing="off" w:line="259" w:lineRule="auto"/>
        <w:ind w:left="0" w:right="0"/>
        <w:jc w:val="left"/>
        <w:rPr>
          <w:sz w:val="24"/>
          <w:szCs w:val="24"/>
        </w:rPr>
      </w:pPr>
    </w:p>
    <w:p w:rsidR="7577FC56" w:rsidP="7577FC56" w:rsidRDefault="7577FC56" w14:paraId="31C94024" w14:textId="5DF95FFB">
      <w:pPr>
        <w:pStyle w:val="Heading3"/>
        <w:bidi w:val="0"/>
        <w:ind w:left="0"/>
        <w:rPr>
          <w:rFonts w:ascii="Calibri" w:hAnsi="Calibri" w:eastAsia="Calibri" w:cs="Calibri" w:asciiTheme="minorAscii" w:hAnsiTheme="minorAscii" w:eastAsiaTheme="minorAscii" w:cstheme="minorAscii"/>
          <w:b w:val="1"/>
          <w:bCs w:val="1"/>
          <w:color w:val="00B050"/>
          <w:sz w:val="32"/>
          <w:szCs w:val="32"/>
        </w:rPr>
      </w:pPr>
      <w:r w:rsidRPr="7577FC56" w:rsidR="7577FC56">
        <w:rPr>
          <w:rFonts w:ascii="Calibri" w:hAnsi="Calibri" w:eastAsia="Calibri" w:cs="Calibri" w:asciiTheme="minorAscii" w:hAnsiTheme="minorAscii" w:eastAsiaTheme="minorAscii" w:cstheme="minorAscii"/>
          <w:b w:val="1"/>
          <w:bCs w:val="1"/>
          <w:color w:val="00B050"/>
          <w:sz w:val="32"/>
          <w:szCs w:val="32"/>
        </w:rPr>
        <w:t>Tillåtet</w:t>
      </w:r>
    </w:p>
    <w:p w:rsidR="7577FC56" w:rsidP="7577FC56" w:rsidRDefault="7577FC56" w14:paraId="52BB2334" w14:textId="20623E57">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6"/>
          <w:szCs w:val="26"/>
        </w:rPr>
      </w:pPr>
      <w:proofErr w:type="spellStart"/>
      <w:r w:rsidRPr="7577FC56" w:rsidR="7577FC56">
        <w:rPr>
          <w:sz w:val="26"/>
          <w:szCs w:val="26"/>
        </w:rPr>
        <w:t>Nätstaket</w:t>
      </w:r>
      <w:proofErr w:type="spellEnd"/>
      <w:r w:rsidRPr="7577FC56" w:rsidR="7577FC56">
        <w:rPr>
          <w:sz w:val="26"/>
          <w:szCs w:val="26"/>
        </w:rPr>
        <w:t>.</w:t>
      </w:r>
    </w:p>
    <w:p w:rsidR="7577FC56" w:rsidP="7577FC56" w:rsidRDefault="7577FC56" w14:paraId="527785AC" w14:textId="5D5412EA">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6"/>
          <w:szCs w:val="26"/>
        </w:rPr>
      </w:pPr>
      <w:proofErr w:type="spellStart"/>
      <w:r w:rsidRPr="7577FC56" w:rsidR="7577FC56">
        <w:rPr>
          <w:sz w:val="26"/>
          <w:szCs w:val="26"/>
        </w:rPr>
        <w:t>Elgrill</w:t>
      </w:r>
      <w:proofErr w:type="spellEnd"/>
      <w:r w:rsidRPr="7577FC56" w:rsidR="7577FC56">
        <w:rPr>
          <w:sz w:val="26"/>
          <w:szCs w:val="26"/>
        </w:rPr>
        <w:t xml:space="preserve"> (andra grillar placeras långt utanför så inget os kommer in).</w:t>
      </w:r>
    </w:p>
    <w:p w:rsidR="7577FC56" w:rsidP="7577FC56" w:rsidRDefault="7577FC56" w14:paraId="082E7F6A" w14:textId="6F6CC762">
      <w:pPr>
        <w:pStyle w:val="ListParagraph"/>
        <w:numPr>
          <w:ilvl w:val="0"/>
          <w:numId w:val="1"/>
        </w:numPr>
        <w:bidi w:val="0"/>
        <w:spacing w:before="0" w:beforeAutospacing="off" w:after="160" w:afterAutospacing="off" w:line="259" w:lineRule="auto"/>
        <w:ind w:right="0"/>
        <w:jc w:val="left"/>
        <w:rPr>
          <w:sz w:val="26"/>
          <w:szCs w:val="26"/>
        </w:rPr>
      </w:pPr>
      <w:r w:rsidRPr="7577FC56" w:rsidR="7577FC56">
        <w:rPr>
          <w:sz w:val="26"/>
          <w:szCs w:val="26"/>
        </w:rPr>
        <w:t>Trädgårdsmöbler inkluderat parasoll.</w:t>
      </w:r>
    </w:p>
    <w:p w:rsidR="7577FC56" w:rsidP="7577FC56" w:rsidRDefault="7577FC56" w14:paraId="6FAB4D0C" w14:textId="1076A6B8">
      <w:pPr>
        <w:pStyle w:val="ListParagraph"/>
        <w:numPr>
          <w:ilvl w:val="0"/>
          <w:numId w:val="1"/>
        </w:numPr>
        <w:bidi w:val="0"/>
        <w:spacing w:before="0" w:beforeAutospacing="off" w:after="160" w:afterAutospacing="off" w:line="259" w:lineRule="auto"/>
        <w:ind w:right="0"/>
        <w:jc w:val="left"/>
        <w:rPr>
          <w:sz w:val="26"/>
          <w:szCs w:val="26"/>
        </w:rPr>
      </w:pPr>
      <w:r w:rsidRPr="7577FC56" w:rsidR="7577FC56">
        <w:rPr>
          <w:sz w:val="26"/>
          <w:szCs w:val="26"/>
        </w:rPr>
        <w:t>Några krukor.</w:t>
      </w:r>
    </w:p>
    <w:p w:rsidR="7577FC56" w:rsidP="7577FC56" w:rsidRDefault="7577FC56" w14:paraId="48672E54" w14:textId="467A42E3">
      <w:pPr>
        <w:pStyle w:val="ListParagraph"/>
        <w:numPr>
          <w:ilvl w:val="0"/>
          <w:numId w:val="1"/>
        </w:numPr>
        <w:bidi w:val="0"/>
        <w:spacing w:before="0" w:beforeAutospacing="off" w:after="160" w:afterAutospacing="off" w:line="259" w:lineRule="auto"/>
        <w:ind w:right="0"/>
        <w:jc w:val="left"/>
        <w:rPr>
          <w:sz w:val="26"/>
          <w:szCs w:val="26"/>
        </w:rPr>
      </w:pPr>
      <w:r w:rsidRPr="7577FC56" w:rsidR="7577FC56">
        <w:rPr>
          <w:sz w:val="26"/>
          <w:szCs w:val="26"/>
        </w:rPr>
        <w:t>Max två pallkragar som får vara maximalt två våningar hög, utan någon förhöjning under. Pallkragarna ska se snygga ut och passa ihop med omgivningen, måla dem eller se till att de är nya och fräscha. Eller köp odlingslådor.</w:t>
      </w:r>
    </w:p>
    <w:p w:rsidR="7577FC56" w:rsidP="7577FC56" w:rsidRDefault="7577FC56" w14:paraId="2CADFB22" w14:textId="52D81121">
      <w:pPr>
        <w:pStyle w:val="Normal"/>
        <w:bidi w:val="0"/>
        <w:spacing w:before="0" w:beforeAutospacing="off" w:after="160" w:afterAutospacing="off" w:line="259" w:lineRule="auto"/>
        <w:ind w:right="0"/>
        <w:jc w:val="left"/>
        <w:rPr>
          <w:sz w:val="28"/>
          <w:szCs w:val="28"/>
        </w:rPr>
      </w:pPr>
    </w:p>
    <w:p w:rsidR="7577FC56" w:rsidP="7577FC56" w:rsidRDefault="7577FC56" w14:paraId="034792DB" w14:textId="0C191A13">
      <w:pPr>
        <w:pStyle w:val="Normal"/>
        <w:bidi w:val="0"/>
        <w:spacing w:before="0" w:beforeAutospacing="off" w:after="160" w:afterAutospacing="off" w:line="259" w:lineRule="auto"/>
        <w:ind w:left="0" w:right="0"/>
        <w:jc w:val="left"/>
        <w:rPr>
          <w:sz w:val="24"/>
          <w:szCs w:val="24"/>
        </w:rPr>
      </w:pPr>
    </w:p>
    <w:p w:rsidR="7577FC56" w:rsidP="7577FC56" w:rsidRDefault="7577FC56" w14:paraId="176847DC" w14:textId="0A8101DC">
      <w:pPr>
        <w:pStyle w:val="Normal"/>
        <w:bidi w:val="0"/>
        <w:spacing w:before="0" w:beforeAutospacing="off" w:after="160" w:afterAutospacing="off" w:line="259" w:lineRule="auto"/>
        <w:ind w:left="0" w:right="0"/>
        <w:jc w:val="left"/>
        <w:rPr>
          <w:sz w:val="24"/>
          <w:szCs w:val="24"/>
        </w:rPr>
      </w:pPr>
    </w:p>
    <w:p w:rsidR="7577FC56" w:rsidP="7577FC56" w:rsidRDefault="7577FC56" w14:paraId="37AF4EBF" w14:textId="04C46877">
      <w:pPr>
        <w:pStyle w:val="Normal"/>
        <w:bidi w:val="0"/>
        <w:spacing w:before="0" w:beforeAutospacing="off" w:after="160" w:afterAutospacing="off" w:line="259" w:lineRule="auto"/>
        <w:ind w:left="0" w:right="0"/>
        <w:jc w:val="left"/>
        <w:rPr>
          <w:sz w:val="24"/>
          <w:szCs w:val="24"/>
        </w:rPr>
      </w:pPr>
    </w:p>
    <w:p w:rsidR="7577FC56" w:rsidP="7577FC56" w:rsidRDefault="7577FC56" w14:paraId="2761DC37" w14:textId="2FC67BD9">
      <w:pPr>
        <w:pStyle w:val="Normal"/>
        <w:bidi w:val="0"/>
        <w:spacing w:before="0" w:beforeAutospacing="off" w:after="160" w:afterAutospacing="off" w:line="259" w:lineRule="auto"/>
        <w:ind w:left="0" w:right="0"/>
        <w:jc w:val="left"/>
        <w:rPr>
          <w:rStyle w:val="Heading3Char"/>
          <w:color w:val="FF0000"/>
          <w:sz w:val="40"/>
          <w:szCs w:val="40"/>
          <w:u w:val="single"/>
        </w:rPr>
      </w:pPr>
      <w:r w:rsidRPr="7577FC56" w:rsidR="7577FC56">
        <w:rPr>
          <w:rStyle w:val="Heading3Char"/>
          <w:color w:val="FF0000"/>
          <w:sz w:val="40"/>
          <w:szCs w:val="40"/>
          <w:u w:val="single"/>
        </w:rPr>
        <w:t>Förbjudet!</w:t>
      </w:r>
    </w:p>
    <w:p w:rsidR="7577FC56" w:rsidP="7577FC56" w:rsidRDefault="7577FC56" w14:paraId="5E706BD4" w14:textId="63205F97">
      <w:pPr>
        <w:pStyle w:val="ListParagraph"/>
        <w:numPr>
          <w:ilvl w:val="0"/>
          <w:numId w:val="2"/>
        </w:numPr>
        <w:bidi w:val="0"/>
        <w:rPr>
          <w:rFonts w:ascii="Calibri" w:hAnsi="Calibri" w:eastAsia="Calibri" w:cs="Calibri" w:asciiTheme="minorAscii" w:hAnsiTheme="minorAscii" w:eastAsiaTheme="minorAscii" w:cstheme="minorAscii"/>
          <w:sz w:val="26"/>
          <w:szCs w:val="26"/>
        </w:rPr>
      </w:pPr>
      <w:r w:rsidRPr="7577FC56" w:rsidR="7577FC56">
        <w:rPr>
          <w:sz w:val="26"/>
          <w:szCs w:val="26"/>
        </w:rPr>
        <w:t>Att gräva upp gräsmattan.</w:t>
      </w:r>
    </w:p>
    <w:p w:rsidR="7577FC56" w:rsidP="7577FC56" w:rsidRDefault="7577FC56" w14:paraId="168DA251" w14:textId="7EA23271">
      <w:pPr>
        <w:pStyle w:val="ListParagraph"/>
        <w:numPr>
          <w:ilvl w:val="0"/>
          <w:numId w:val="2"/>
        </w:numPr>
        <w:bidi w:val="0"/>
        <w:rPr>
          <w:sz w:val="26"/>
          <w:szCs w:val="26"/>
        </w:rPr>
      </w:pPr>
      <w:r w:rsidRPr="7577FC56" w:rsidR="7577FC56">
        <w:rPr>
          <w:sz w:val="26"/>
          <w:szCs w:val="26"/>
        </w:rPr>
        <w:t>Att flytta på plattor som påverkar dräneringen.</w:t>
      </w:r>
    </w:p>
    <w:p w:rsidR="7577FC56" w:rsidP="7577FC56" w:rsidRDefault="7577FC56" w14:paraId="09190573" w14:textId="5F721DD6">
      <w:pPr>
        <w:pStyle w:val="ListParagraph"/>
        <w:numPr>
          <w:ilvl w:val="0"/>
          <w:numId w:val="2"/>
        </w:numPr>
        <w:bidi w:val="0"/>
        <w:rPr>
          <w:sz w:val="26"/>
          <w:szCs w:val="26"/>
        </w:rPr>
      </w:pPr>
      <w:r w:rsidRPr="7577FC56" w:rsidR="7577FC56">
        <w:rPr>
          <w:sz w:val="26"/>
          <w:szCs w:val="26"/>
        </w:rPr>
        <w:t>Sandlådor.</w:t>
      </w:r>
    </w:p>
    <w:p w:rsidR="7577FC56" w:rsidP="7577FC56" w:rsidRDefault="7577FC56" w14:paraId="2B98C3C6" w14:textId="2C4C0EF0">
      <w:pPr>
        <w:pStyle w:val="ListParagraph"/>
        <w:numPr>
          <w:ilvl w:val="0"/>
          <w:numId w:val="2"/>
        </w:numPr>
        <w:bidi w:val="0"/>
        <w:rPr>
          <w:sz w:val="26"/>
          <w:szCs w:val="26"/>
        </w:rPr>
      </w:pPr>
      <w:r w:rsidRPr="7577FC56" w:rsidR="7577FC56">
        <w:rPr>
          <w:sz w:val="26"/>
          <w:szCs w:val="26"/>
        </w:rPr>
        <w:t>Studsmattor.</w:t>
      </w:r>
    </w:p>
    <w:p w:rsidR="7577FC56" w:rsidP="7577FC56" w:rsidRDefault="7577FC56" w14:paraId="24EC0FFB" w14:textId="6EFA3463">
      <w:pPr>
        <w:pStyle w:val="ListParagraph"/>
        <w:numPr>
          <w:ilvl w:val="0"/>
          <w:numId w:val="2"/>
        </w:numPr>
        <w:bidi w:val="0"/>
        <w:rPr>
          <w:sz w:val="26"/>
          <w:szCs w:val="26"/>
        </w:rPr>
      </w:pPr>
      <w:r w:rsidRPr="7577FC56" w:rsidR="7577FC56">
        <w:rPr>
          <w:sz w:val="26"/>
          <w:szCs w:val="26"/>
        </w:rPr>
        <w:t>Uppblåsbara pooler och badtunnor.</w:t>
      </w:r>
    </w:p>
    <w:p w:rsidR="7577FC56" w:rsidP="7577FC56" w:rsidRDefault="7577FC56" w14:paraId="3D3D00C9" w14:textId="7538E2F2">
      <w:pPr>
        <w:pStyle w:val="ListParagraph"/>
        <w:numPr>
          <w:ilvl w:val="0"/>
          <w:numId w:val="2"/>
        </w:numPr>
        <w:bidi w:val="0"/>
        <w:rPr>
          <w:sz w:val="26"/>
          <w:szCs w:val="26"/>
        </w:rPr>
      </w:pPr>
      <w:r w:rsidRPr="7577FC56" w:rsidR="7577FC56">
        <w:rPr>
          <w:sz w:val="26"/>
          <w:szCs w:val="26"/>
        </w:rPr>
        <w:t>Trägolv.</w:t>
      </w:r>
    </w:p>
    <w:p w:rsidR="7577FC56" w:rsidP="7577FC56" w:rsidRDefault="7577FC56" w14:paraId="1ADB1C6D" w14:textId="083E6D22">
      <w:pPr>
        <w:pStyle w:val="ListParagraph"/>
        <w:numPr>
          <w:ilvl w:val="0"/>
          <w:numId w:val="2"/>
        </w:numPr>
        <w:bidi w:val="0"/>
        <w:rPr>
          <w:sz w:val="26"/>
          <w:szCs w:val="26"/>
        </w:rPr>
      </w:pPr>
      <w:r w:rsidRPr="7577FC56" w:rsidR="7577FC56">
        <w:rPr>
          <w:sz w:val="26"/>
          <w:szCs w:val="26"/>
        </w:rPr>
        <w:t>Altaner</w:t>
      </w:r>
    </w:p>
    <w:p w:rsidR="7577FC56" w:rsidP="7577FC56" w:rsidRDefault="7577FC56" w14:paraId="0145D7D4" w14:textId="25917CA5">
      <w:pPr>
        <w:pStyle w:val="ListParagraph"/>
        <w:numPr>
          <w:ilvl w:val="0"/>
          <w:numId w:val="2"/>
        </w:numPr>
        <w:bidi w:val="0"/>
        <w:rPr>
          <w:sz w:val="26"/>
          <w:szCs w:val="26"/>
        </w:rPr>
      </w:pPr>
      <w:r w:rsidRPr="7577FC56" w:rsidR="7577FC56">
        <w:rPr>
          <w:sz w:val="26"/>
          <w:szCs w:val="26"/>
        </w:rPr>
        <w:t>Uthus, förråd.</w:t>
      </w:r>
    </w:p>
    <w:p w:rsidR="7577FC56" w:rsidP="7577FC56" w:rsidRDefault="7577FC56" w14:paraId="3C3E621B" w14:textId="4E843A97">
      <w:pPr>
        <w:pStyle w:val="ListParagraph"/>
        <w:numPr>
          <w:ilvl w:val="0"/>
          <w:numId w:val="2"/>
        </w:numPr>
        <w:bidi w:val="0"/>
        <w:rPr>
          <w:sz w:val="26"/>
          <w:szCs w:val="26"/>
        </w:rPr>
      </w:pPr>
      <w:r w:rsidRPr="7577FC56" w:rsidR="7577FC56">
        <w:rPr>
          <w:sz w:val="26"/>
          <w:szCs w:val="26"/>
        </w:rPr>
        <w:t xml:space="preserve">Fast </w:t>
      </w:r>
      <w:proofErr w:type="spellStart"/>
      <w:r w:rsidRPr="7577FC56" w:rsidR="7577FC56">
        <w:rPr>
          <w:sz w:val="26"/>
          <w:szCs w:val="26"/>
        </w:rPr>
        <w:t>tvättställning</w:t>
      </w:r>
      <w:proofErr w:type="spellEnd"/>
      <w:r w:rsidRPr="7577FC56" w:rsidR="7577FC56">
        <w:rPr>
          <w:sz w:val="26"/>
          <w:szCs w:val="26"/>
        </w:rPr>
        <w:t>.</w:t>
      </w:r>
    </w:p>
    <w:p w:rsidR="7577FC56" w:rsidP="7577FC56" w:rsidRDefault="7577FC56" w14:paraId="7DC16C2B" w14:textId="0E5196E7">
      <w:pPr>
        <w:pStyle w:val="ListParagraph"/>
        <w:numPr>
          <w:ilvl w:val="0"/>
          <w:numId w:val="2"/>
        </w:numPr>
        <w:bidi w:val="0"/>
        <w:rPr>
          <w:sz w:val="26"/>
          <w:szCs w:val="26"/>
        </w:rPr>
      </w:pPr>
      <w:r w:rsidRPr="7577FC56" w:rsidR="7577FC56">
        <w:rPr>
          <w:sz w:val="26"/>
          <w:szCs w:val="26"/>
        </w:rPr>
        <w:t>Cyklar, mopeder och motorcyklar.</w:t>
      </w:r>
    </w:p>
    <w:p w:rsidR="7577FC56" w:rsidP="7577FC56" w:rsidRDefault="7577FC56" w14:paraId="6F5AE4E5" w14:textId="2422B4B0">
      <w:pPr>
        <w:pStyle w:val="ListParagraph"/>
        <w:numPr>
          <w:ilvl w:val="0"/>
          <w:numId w:val="2"/>
        </w:numPr>
        <w:bidi w:val="0"/>
        <w:rPr>
          <w:sz w:val="26"/>
          <w:szCs w:val="26"/>
        </w:rPr>
      </w:pPr>
      <w:r w:rsidRPr="7577FC56" w:rsidR="7577FC56">
        <w:rPr>
          <w:sz w:val="26"/>
          <w:szCs w:val="26"/>
        </w:rPr>
        <w:t>Fågelmatning.</w:t>
      </w:r>
    </w:p>
    <w:p w:rsidR="7577FC56" w:rsidP="7577FC56" w:rsidRDefault="7577FC56" w14:paraId="7349E940" w14:textId="6E125B93">
      <w:pPr>
        <w:pStyle w:val="ListParagraph"/>
        <w:numPr>
          <w:ilvl w:val="0"/>
          <w:numId w:val="2"/>
        </w:numPr>
        <w:bidi w:val="0"/>
        <w:rPr>
          <w:sz w:val="26"/>
          <w:szCs w:val="26"/>
        </w:rPr>
      </w:pPr>
      <w:r w:rsidRPr="7577FC56" w:rsidR="7577FC56">
        <w:rPr>
          <w:sz w:val="26"/>
          <w:szCs w:val="26"/>
        </w:rPr>
        <w:t>Ingen belysning i kulörta färger som blinkar.</w:t>
      </w:r>
    </w:p>
    <w:p w:rsidR="7577FC56" w:rsidP="7577FC56" w:rsidRDefault="7577FC56" w14:paraId="19B459E5" w14:textId="6044E8FD">
      <w:pPr>
        <w:pStyle w:val="Normal"/>
        <w:bidi w:val="0"/>
        <w:rPr>
          <w:sz w:val="26"/>
          <w:szCs w:val="26"/>
        </w:rPr>
      </w:pPr>
      <w:r w:rsidRPr="7577FC56" w:rsidR="7577FC56">
        <w:rPr>
          <w:sz w:val="26"/>
          <w:szCs w:val="26"/>
        </w:rPr>
        <w:t>Partytält får du sätta upp ett par dagar högst, men du ska inhämta styrelsens tillstånd innan. Vill du göra någonting som du inte hittar i listan tillåtet/förbjudet, sök tillstånd hos styrelsen!</w:t>
      </w:r>
    </w:p>
    <w:p w:rsidR="7577FC56" w:rsidP="7577FC56" w:rsidRDefault="7577FC56" w14:paraId="0C420C7C" w14:textId="6E7FC32D">
      <w:pPr>
        <w:pStyle w:val="Normal"/>
        <w:bidi w:val="0"/>
        <w:rPr>
          <w:sz w:val="26"/>
          <w:szCs w:val="26"/>
        </w:rPr>
      </w:pPr>
    </w:p>
    <w:p w:rsidR="7577FC56" w:rsidP="7577FC56" w:rsidRDefault="7577FC56" w14:paraId="59CABD71" w14:textId="4BF41F72">
      <w:pPr>
        <w:pStyle w:val="Normal"/>
        <w:bidi w:val="0"/>
        <w:rPr>
          <w:sz w:val="26"/>
          <w:szCs w:val="26"/>
        </w:rPr>
      </w:pPr>
    </w:p>
    <w:p w:rsidR="7577FC56" w:rsidP="7577FC56" w:rsidRDefault="7577FC56" w14:paraId="2F93F1C8" w14:textId="25C4D849">
      <w:pPr>
        <w:pStyle w:val="Normal"/>
        <w:bidi w:val="0"/>
        <w:rPr>
          <w:sz w:val="26"/>
          <w:szCs w:val="26"/>
        </w:rPr>
      </w:pPr>
    </w:p>
    <w:p w:rsidR="7577FC56" w:rsidP="7577FC56" w:rsidRDefault="7577FC56" w14:paraId="61295224" w14:textId="4E0BC094">
      <w:pPr>
        <w:pStyle w:val="Normal"/>
        <w:bidi w:val="0"/>
        <w:rPr>
          <w:sz w:val="26"/>
          <w:szCs w:val="26"/>
        </w:rPr>
      </w:pPr>
    </w:p>
    <w:p w:rsidR="7577FC56" w:rsidP="7577FC56" w:rsidRDefault="7577FC56" w14:paraId="7C174617" w14:textId="1CA4C7E2">
      <w:pPr>
        <w:pStyle w:val="Normal"/>
        <w:bidi w:val="0"/>
        <w:rPr>
          <w:sz w:val="26"/>
          <w:szCs w:val="26"/>
        </w:rPr>
      </w:pPr>
    </w:p>
    <w:p w:rsidR="7577FC56" w:rsidP="7577FC56" w:rsidRDefault="7577FC56" w14:paraId="6E7DFBAC" w14:textId="009F3511">
      <w:pPr>
        <w:pStyle w:val="Normal"/>
        <w:bidi w:val="0"/>
        <w:rPr>
          <w:sz w:val="26"/>
          <w:szCs w:val="26"/>
        </w:rPr>
      </w:pPr>
    </w:p>
    <w:p w:rsidR="7577FC56" w:rsidP="7577FC56" w:rsidRDefault="7577FC56" w14:paraId="4771C7E2" w14:textId="5E84F0E6">
      <w:pPr>
        <w:pStyle w:val="Normal"/>
        <w:bidi w:val="0"/>
        <w:rPr>
          <w:sz w:val="26"/>
          <w:szCs w:val="26"/>
        </w:rPr>
      </w:pPr>
    </w:p>
    <w:p w:rsidR="7577FC56" w:rsidP="7577FC56" w:rsidRDefault="7577FC56" w14:paraId="38755C39" w14:textId="7A5BC7BB">
      <w:pPr>
        <w:pStyle w:val="Normal"/>
        <w:bidi w:val="0"/>
        <w:rPr>
          <w:sz w:val="26"/>
          <w:szCs w:val="26"/>
        </w:rPr>
      </w:pPr>
    </w:p>
    <w:p w:rsidR="7577FC56" w:rsidP="7577FC56" w:rsidRDefault="7577FC56" w14:paraId="79D63F3E" w14:textId="479EE9CB">
      <w:pPr>
        <w:pStyle w:val="Normal"/>
        <w:bidi w:val="0"/>
        <w:rPr>
          <w:sz w:val="26"/>
          <w:szCs w:val="26"/>
        </w:rPr>
      </w:pPr>
      <w:r w:rsidRPr="7577FC56" w:rsidR="7577FC56">
        <w:rPr>
          <w:sz w:val="26"/>
          <w:szCs w:val="26"/>
        </w:rPr>
        <w:t>Styrelsen Södra Milstolpen 2022-04-20</w:t>
      </w:r>
    </w:p>
    <w:p w:rsidR="7577FC56" w:rsidP="7577FC56" w:rsidRDefault="7577FC56" w14:paraId="4D204946" w14:textId="76541590">
      <w:pPr>
        <w:pStyle w:val="Normal"/>
        <w:bidi w:val="0"/>
        <w:spacing w:before="0" w:beforeAutospacing="off" w:after="160" w:afterAutospacing="off" w:line="259" w:lineRule="auto"/>
        <w:ind w:left="0" w:right="0"/>
        <w:jc w:val="left"/>
        <w:rPr>
          <w:sz w:val="26"/>
          <w:szCs w:val="26"/>
        </w:rPr>
      </w:pPr>
    </w:p>
    <w:p w:rsidR="7577FC56" w:rsidP="7577FC56" w:rsidRDefault="7577FC56" w14:paraId="700A13EF" w14:textId="5091F24F">
      <w:pPr>
        <w:pStyle w:val="Normal"/>
        <w:rPr>
          <w:sz w:val="26"/>
          <w:szCs w:val="26"/>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17AC27"/>
    <w:rsid w:val="1317AC27"/>
    <w:rsid w:val="7577F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AC27"/>
  <w15:chartTrackingRefBased/>
  <w15:docId w15:val="{6B996DF5-8DE3-4C02-98A5-D49768F200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6c1ac4e689a24b82" /><Relationship Type="http://schemas.openxmlformats.org/officeDocument/2006/relationships/numbering" Target="numbering.xml" Id="R1ab80a964e3540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2022-04-20T16:38:39.3569204Z</dcterms:created>
  <dcterms:modified xsi:type="dcterms:W3CDTF">2022-04-20T17:29:33.3103038Z</dcterms:modified>
  <dc:creator>Johan Leion</dc:creator>
  <lastModifiedBy>Johan Leion</lastModifiedBy>
</coreProperties>
</file>